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111" w:rsidRDefault="006F72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pict w14:anchorId="667E242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0;margin-top:0;width:50pt;height:50pt;z-index:251657216;visibility:hidden">
            <o:lock v:ext="edit" selection="t"/>
          </v:shape>
        </w:pict>
      </w:r>
      <w:r>
        <w:pict w14:anchorId="103DBD78">
          <v:shape id="_x0000_s1027" type="#_x0000_t136" style="position:absolute;margin-left:0;margin-top:0;width:50pt;height:50pt;z-index:251658240;visibility:hidden">
            <o:lock v:ext="edit" selection="t"/>
          </v:shape>
        </w:pict>
      </w:r>
      <w:r>
        <w:pict w14:anchorId="5BA756E8">
          <v:shape id="_x0000_s1026" type="#_x0000_t136" style="position:absolute;margin-left:0;margin-top:0;width:50pt;height:50pt;z-index:251659264;visibility:hidden">
            <o:lock v:ext="edit" selection="t"/>
          </v:shape>
        </w:pict>
      </w:r>
    </w:p>
    <w:p w:rsidR="00C51111" w:rsidRDefault="006F722F">
      <w:pPr>
        <w:spacing w:after="0" w:line="240" w:lineRule="auto"/>
        <w:rPr>
          <w:rFonts w:ascii="Arial" w:eastAsia="Arial" w:hAnsi="Arial" w:cs="Arial"/>
          <w:b/>
          <w:color w:val="800000"/>
          <w:sz w:val="28"/>
          <w:szCs w:val="28"/>
        </w:rPr>
      </w:pPr>
      <w:r>
        <w:rPr>
          <w:rFonts w:ascii="Arial" w:eastAsia="Arial" w:hAnsi="Arial" w:cs="Arial"/>
          <w:b/>
          <w:color w:val="800000"/>
          <w:sz w:val="40"/>
          <w:szCs w:val="40"/>
        </w:rPr>
        <w:br/>
      </w:r>
      <w:proofErr w:type="spellStart"/>
      <w:r>
        <w:rPr>
          <w:rFonts w:ascii="Arial" w:eastAsia="Arial" w:hAnsi="Arial" w:cs="Arial"/>
          <w:b/>
          <w:color w:val="800000"/>
          <w:sz w:val="40"/>
          <w:szCs w:val="40"/>
        </w:rPr>
        <w:t>Calday</w:t>
      </w:r>
      <w:proofErr w:type="spellEnd"/>
      <w:r>
        <w:rPr>
          <w:rFonts w:ascii="Arial" w:eastAsia="Arial" w:hAnsi="Arial" w:cs="Arial"/>
          <w:b/>
          <w:color w:val="800000"/>
          <w:sz w:val="40"/>
          <w:szCs w:val="40"/>
        </w:rPr>
        <w:t xml:space="preserve"> Grange Grammar School</w:t>
      </w:r>
      <w:r>
        <w:rPr>
          <w:rFonts w:ascii="Arial" w:eastAsia="Arial" w:hAnsi="Arial" w:cs="Arial"/>
          <w:b/>
          <w:color w:val="800000"/>
          <w:sz w:val="40"/>
          <w:szCs w:val="40"/>
        </w:rPr>
        <w:br/>
      </w:r>
      <w:r>
        <w:rPr>
          <w:rFonts w:ascii="Arial" w:eastAsia="Arial" w:hAnsi="Arial" w:cs="Arial"/>
          <w:b/>
          <w:sz w:val="40"/>
          <w:szCs w:val="40"/>
        </w:rPr>
        <w:t xml:space="preserve">Job Description </w:t>
      </w:r>
      <w:r>
        <w:rPr>
          <w:noProof/>
        </w:rPr>
        <w:drawing>
          <wp:anchor distT="0" distB="0" distL="114300" distR="114300" simplePos="0" relativeHeight="251656192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104775</wp:posOffset>
            </wp:positionV>
            <wp:extent cx="912495" cy="946150"/>
            <wp:effectExtent l="0" t="0" r="0" b="0"/>
            <wp:wrapSquare wrapText="bothSides" distT="0" distB="0" distL="114300" distR="114300"/>
            <wp:docPr id="5" name="image1.jpg" descr="Colour Calday Crest lar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our Calday Crest larg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946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51111" w:rsidRDefault="00C51111">
      <w:pPr>
        <w:spacing w:after="0" w:line="240" w:lineRule="auto"/>
        <w:jc w:val="both"/>
        <w:rPr>
          <w:rFonts w:ascii="Balthazar" w:eastAsia="Balthazar" w:hAnsi="Balthazar" w:cs="Balthazar"/>
          <w:b/>
          <w:color w:val="000000"/>
          <w:sz w:val="24"/>
          <w:szCs w:val="24"/>
        </w:rPr>
      </w:pPr>
    </w:p>
    <w:p w:rsidR="00C51111" w:rsidRDefault="00C51111">
      <w:pPr>
        <w:spacing w:after="0" w:line="240" w:lineRule="auto"/>
        <w:jc w:val="both"/>
        <w:rPr>
          <w:rFonts w:ascii="Balthazar" w:eastAsia="Balthazar" w:hAnsi="Balthazar" w:cs="Balthazar"/>
          <w:b/>
          <w:color w:val="000000"/>
          <w:sz w:val="24"/>
          <w:szCs w:val="24"/>
        </w:rPr>
      </w:pPr>
    </w:p>
    <w:tbl>
      <w:tblPr>
        <w:tblStyle w:val="a"/>
        <w:tblW w:w="9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4"/>
        <w:gridCol w:w="6392"/>
      </w:tblGrid>
      <w:tr w:rsidR="00C51111">
        <w:tc>
          <w:tcPr>
            <w:tcW w:w="9016" w:type="dxa"/>
            <w:gridSpan w:val="2"/>
            <w:shd w:val="clear" w:color="auto" w:fill="D9D9D9"/>
          </w:tcPr>
          <w:p w:rsidR="00C51111" w:rsidRDefault="006F722F">
            <w:pPr>
              <w:pStyle w:val="Heading2"/>
              <w:spacing w:before="120" w:after="120"/>
              <w:outlineLvl w:val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PA to Headteacher incorporating Company Secretary and HR Administrative support</w:t>
            </w:r>
          </w:p>
        </w:tc>
      </w:tr>
      <w:tr w:rsidR="00C51111">
        <w:tc>
          <w:tcPr>
            <w:tcW w:w="2624" w:type="dxa"/>
          </w:tcPr>
          <w:p w:rsidR="00C51111" w:rsidRDefault="006F722F">
            <w:pPr>
              <w:spacing w:before="80" w:after="8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Scale</w:t>
            </w:r>
          </w:p>
        </w:tc>
        <w:tc>
          <w:tcPr>
            <w:tcW w:w="6392" w:type="dxa"/>
          </w:tcPr>
          <w:p w:rsidR="00C51111" w:rsidRDefault="006F722F">
            <w:pPr>
              <w:spacing w:before="80" w:after="8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Pay Band H - pt.25 to pt.28  (£31,144 - £35,397)</w:t>
            </w:r>
          </w:p>
        </w:tc>
      </w:tr>
      <w:tr w:rsidR="00C51111">
        <w:tc>
          <w:tcPr>
            <w:tcW w:w="2624" w:type="dxa"/>
          </w:tcPr>
          <w:p w:rsidR="00C51111" w:rsidRDefault="006F722F">
            <w:pPr>
              <w:spacing w:before="80" w:after="8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Accountable to:</w:t>
            </w:r>
          </w:p>
        </w:tc>
        <w:tc>
          <w:tcPr>
            <w:tcW w:w="6392" w:type="dxa"/>
          </w:tcPr>
          <w:p w:rsidR="00C51111" w:rsidRDefault="006F722F">
            <w:pPr>
              <w:spacing w:before="80" w:after="8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Headteacher </w:t>
            </w:r>
          </w:p>
        </w:tc>
      </w:tr>
      <w:tr w:rsidR="00C51111">
        <w:tc>
          <w:tcPr>
            <w:tcW w:w="2624" w:type="dxa"/>
          </w:tcPr>
          <w:p w:rsidR="00C51111" w:rsidRDefault="006F722F">
            <w:pPr>
              <w:spacing w:before="80" w:after="8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Responsible for:</w:t>
            </w:r>
          </w:p>
        </w:tc>
        <w:tc>
          <w:tcPr>
            <w:tcW w:w="6392" w:type="dxa"/>
          </w:tcPr>
          <w:p w:rsidR="00C51111" w:rsidRDefault="006F722F">
            <w:pPr>
              <w:spacing w:before="80" w:after="8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N/A</w:t>
            </w:r>
          </w:p>
        </w:tc>
      </w:tr>
      <w:tr w:rsidR="00C51111">
        <w:tc>
          <w:tcPr>
            <w:tcW w:w="9016" w:type="dxa"/>
            <w:gridSpan w:val="2"/>
            <w:shd w:val="clear" w:color="auto" w:fill="D9D9D9"/>
          </w:tcPr>
          <w:p w:rsidR="00C51111" w:rsidRDefault="006F722F">
            <w:pP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Job Purpose:</w:t>
            </w:r>
          </w:p>
        </w:tc>
      </w:tr>
      <w:tr w:rsidR="00C51111">
        <w:tc>
          <w:tcPr>
            <w:tcW w:w="9016" w:type="dxa"/>
            <w:gridSpan w:val="2"/>
          </w:tcPr>
          <w:p w:rsidR="00C51111" w:rsidRDefault="006F722F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  <w:b/>
              </w:rPr>
              <w:t xml:space="preserve">PA to the Headteacher </w:t>
            </w:r>
          </w:p>
          <w:p w:rsidR="00C51111" w:rsidRDefault="006F722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 provide a professional and efficient secretarial/administrative service for the Headteacher and, where appropriate, Senior Leadership Team.  The post holder will also work flexibly in order to take responsibility for undertaking complex administrative a</w:t>
            </w:r>
            <w:r>
              <w:rPr>
                <w:rFonts w:ascii="Arial" w:eastAsia="Arial" w:hAnsi="Arial" w:cs="Arial"/>
              </w:rPr>
              <w:t xml:space="preserve">nd organisational processes within the school. </w:t>
            </w:r>
          </w:p>
          <w:p w:rsidR="00C51111" w:rsidRDefault="00C51111">
            <w:pPr>
              <w:jc w:val="both"/>
              <w:rPr>
                <w:rFonts w:ascii="Arial" w:eastAsia="Arial" w:hAnsi="Arial" w:cs="Arial"/>
              </w:rPr>
            </w:pPr>
          </w:p>
          <w:p w:rsidR="00C51111" w:rsidRPr="0048478D" w:rsidRDefault="006F722F">
            <w:pPr>
              <w:jc w:val="both"/>
              <w:rPr>
                <w:rFonts w:ascii="Arial" w:eastAsia="Arial" w:hAnsi="Arial" w:cs="Arial"/>
                <w:b/>
              </w:rPr>
            </w:pPr>
            <w:r w:rsidRPr="0048478D">
              <w:rPr>
                <w:rFonts w:ascii="Arial" w:eastAsia="Arial" w:hAnsi="Arial" w:cs="Arial"/>
                <w:b/>
              </w:rPr>
              <w:t>Company Secretary Support</w:t>
            </w:r>
          </w:p>
          <w:p w:rsidR="00C51111" w:rsidRPr="0048478D" w:rsidRDefault="006F722F">
            <w:pPr>
              <w:jc w:val="both"/>
              <w:rPr>
                <w:rFonts w:ascii="Arial" w:eastAsia="Arial" w:hAnsi="Arial" w:cs="Arial"/>
              </w:rPr>
            </w:pPr>
            <w:r w:rsidRPr="0048478D">
              <w:rPr>
                <w:rFonts w:ascii="Arial" w:eastAsia="Arial" w:hAnsi="Arial" w:cs="Arial"/>
              </w:rPr>
              <w:t>To provide administrative support to the company secretary regarding company house filings.</w:t>
            </w:r>
          </w:p>
          <w:p w:rsidR="00C51111" w:rsidRDefault="00C51111" w:rsidP="0048478D">
            <w:pPr>
              <w:jc w:val="both"/>
              <w:rPr>
                <w:rFonts w:ascii="Arial" w:eastAsia="Arial" w:hAnsi="Arial" w:cs="Arial"/>
                <w:highlight w:val="white"/>
              </w:rPr>
            </w:pPr>
          </w:p>
        </w:tc>
      </w:tr>
      <w:tr w:rsidR="00C51111">
        <w:tc>
          <w:tcPr>
            <w:tcW w:w="9016" w:type="dxa"/>
            <w:gridSpan w:val="2"/>
            <w:shd w:val="clear" w:color="auto" w:fill="D9D9D9"/>
          </w:tcPr>
          <w:p w:rsidR="00C51111" w:rsidRDefault="006F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Principal Duties and Responsibilities: </w:t>
            </w:r>
          </w:p>
        </w:tc>
      </w:tr>
      <w:tr w:rsidR="00C51111">
        <w:tc>
          <w:tcPr>
            <w:tcW w:w="9016" w:type="dxa"/>
            <w:gridSpan w:val="2"/>
          </w:tcPr>
          <w:p w:rsidR="00C51111" w:rsidRDefault="006F722F" w:rsidP="00484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br/>
              <w:t>PA to Headteacher</w:t>
            </w:r>
          </w:p>
          <w:p w:rsidR="00C51111" w:rsidRDefault="006F722F" w:rsidP="0048478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76" w:lineRule="auto"/>
              <w:ind w:left="357" w:hanging="357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 provide a high standard of administrative and management support for the Headteacher, dealing with all administrative affairs, queries and correspondence both internal and external with little or no guidance using a degree of judgement, tact and confide</w:t>
            </w:r>
            <w:r>
              <w:rPr>
                <w:rFonts w:ascii="Arial" w:eastAsia="Arial" w:hAnsi="Arial" w:cs="Arial"/>
                <w:color w:val="000000"/>
              </w:rPr>
              <w:t>ntiality.</w:t>
            </w:r>
          </w:p>
          <w:p w:rsidR="00C51111" w:rsidRDefault="006F722F" w:rsidP="0048478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Management of the Headteacher’s diary to ensure that their time is managed efficiently and effectively, in the face of competing demands and tight deadlines.</w:t>
            </w:r>
          </w:p>
          <w:p w:rsidR="0048478D" w:rsidRDefault="0048478D" w:rsidP="0048478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Assist the Headteacher in their external wider role commitments providing administrative support (organising work with other schools). </w:t>
            </w:r>
          </w:p>
          <w:p w:rsidR="00C51111" w:rsidRDefault="006F722F" w:rsidP="0048478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To respond and manage contact from a wide range of stakeholders both internal and external, deciding how to screen, delegate or handle enquiries effectively in accordance with school policies and procedures. </w:t>
            </w:r>
          </w:p>
          <w:p w:rsidR="00C51111" w:rsidRDefault="006F722F" w:rsidP="0048478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To co-ordinate, prepare documentation and take </w:t>
            </w:r>
            <w:r>
              <w:rPr>
                <w:rFonts w:ascii="Arial" w:eastAsia="Arial" w:hAnsi="Arial" w:cs="Arial"/>
                <w:color w:val="000000"/>
              </w:rPr>
              <w:t>accurate minutes at key internal and external meetings.</w:t>
            </w:r>
          </w:p>
          <w:p w:rsidR="0048478D" w:rsidRDefault="0048478D" w:rsidP="0048478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Prepare the agenda and minutes for the Senior Leadership Team meetings.</w:t>
            </w:r>
          </w:p>
          <w:p w:rsidR="00C51111" w:rsidRDefault="006F722F" w:rsidP="0048478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Undertake specific projects as directed by the Headteacher or members of the Senior Leadership team (by agreement of Headteacher).</w:t>
            </w:r>
          </w:p>
          <w:p w:rsidR="00C51111" w:rsidRDefault="006F722F" w:rsidP="0048478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Communicating effectively, both orally and in writing, with a variety</w:t>
            </w:r>
            <w:r>
              <w:rPr>
                <w:rFonts w:ascii="Arial" w:eastAsia="Arial" w:hAnsi="Arial" w:cs="Arial"/>
                <w:color w:val="000000"/>
              </w:rPr>
              <w:t xml:space="preserve"> of stakeholders including the Department for Education, Local Authority, Governors, parents, outside agencies and the local community.</w:t>
            </w:r>
          </w:p>
          <w:p w:rsidR="00C51111" w:rsidRDefault="006F722F" w:rsidP="0048478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Be the main point of contact between the Headteacher and Governing Body.</w:t>
            </w:r>
          </w:p>
          <w:p w:rsidR="00C51111" w:rsidRDefault="006F722F" w:rsidP="0048478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To maintain and co-ordinate the </w:t>
            </w:r>
            <w:r w:rsidR="00027582">
              <w:rPr>
                <w:rFonts w:ascii="Arial" w:eastAsia="Arial" w:hAnsi="Arial" w:cs="Arial"/>
                <w:color w:val="000000"/>
              </w:rPr>
              <w:t>s</w:t>
            </w:r>
            <w:r>
              <w:rPr>
                <w:rFonts w:ascii="Arial" w:eastAsia="Arial" w:hAnsi="Arial" w:cs="Arial"/>
                <w:color w:val="000000"/>
              </w:rPr>
              <w:t>chool’s compla</w:t>
            </w:r>
            <w:r>
              <w:rPr>
                <w:rFonts w:ascii="Arial" w:eastAsia="Arial" w:hAnsi="Arial" w:cs="Arial"/>
                <w:color w:val="000000"/>
              </w:rPr>
              <w:t>ints procedure ensuring that complaints are dealt with in a timely manner</w:t>
            </w:r>
            <w:bookmarkStart w:id="0" w:name="_heading=h.gjdgxs" w:colFirst="0" w:colLast="0"/>
            <w:bookmarkEnd w:id="0"/>
            <w:r w:rsidR="0048478D">
              <w:rPr>
                <w:rFonts w:ascii="Arial" w:eastAsia="Arial" w:hAnsi="Arial" w:cs="Arial"/>
                <w:color w:val="000000"/>
              </w:rPr>
              <w:t xml:space="preserve"> and accurate records are kept in accordance with the retention policy.</w:t>
            </w:r>
          </w:p>
          <w:p w:rsidR="0048478D" w:rsidRPr="0048478D" w:rsidRDefault="0048478D" w:rsidP="0048478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Read designated documentation for the Headteacher, summarising key points</w:t>
            </w:r>
            <w:r w:rsidR="00027582">
              <w:rPr>
                <w:rFonts w:ascii="Arial" w:eastAsia="Arial" w:hAnsi="Arial" w:cs="Arial"/>
                <w:color w:val="000000"/>
              </w:rPr>
              <w:t xml:space="preserve"> accordingly. </w:t>
            </w:r>
          </w:p>
        </w:tc>
      </w:tr>
      <w:tr w:rsidR="00C51111">
        <w:trPr>
          <w:trHeight w:val="2135"/>
        </w:trPr>
        <w:tc>
          <w:tcPr>
            <w:tcW w:w="9016" w:type="dxa"/>
            <w:gridSpan w:val="2"/>
          </w:tcPr>
          <w:p w:rsidR="00C51111" w:rsidRDefault="006F722F" w:rsidP="0048478D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Support for the School</w:t>
            </w:r>
          </w:p>
          <w:p w:rsidR="0048478D" w:rsidRPr="0048478D" w:rsidRDefault="006F722F" w:rsidP="004847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Support the overall ethos of the school as expressed through the schools Mission Statement</w:t>
            </w:r>
            <w:r w:rsidR="0048478D">
              <w:rPr>
                <w:rFonts w:ascii="Arial" w:eastAsia="Arial" w:hAnsi="Arial" w:cs="Arial"/>
                <w:color w:val="000000"/>
              </w:rPr>
              <w:t xml:space="preserve">, supporting after school events as </w:t>
            </w:r>
            <w:r w:rsidR="00027582">
              <w:rPr>
                <w:rFonts w:ascii="Arial" w:eastAsia="Arial" w:hAnsi="Arial" w:cs="Arial"/>
                <w:color w:val="000000"/>
              </w:rPr>
              <w:t xml:space="preserve">and when </w:t>
            </w:r>
            <w:r w:rsidR="0048478D">
              <w:rPr>
                <w:rFonts w:ascii="Arial" w:eastAsia="Arial" w:hAnsi="Arial" w:cs="Arial"/>
                <w:color w:val="000000"/>
              </w:rPr>
              <w:t xml:space="preserve">required. </w:t>
            </w:r>
          </w:p>
          <w:p w:rsidR="00C51111" w:rsidRDefault="006F722F" w:rsidP="004847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Be aware of and comply with policies and procedures relating to child protection, health and safety, security, confidentiality, data protection, copyright etc, reporting all concerns to a line manager.</w:t>
            </w:r>
          </w:p>
          <w:p w:rsidR="00C51111" w:rsidRDefault="006F722F" w:rsidP="004847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Be aware of, and support, difference and ensure equal </w:t>
            </w:r>
            <w:r>
              <w:rPr>
                <w:rFonts w:ascii="Arial" w:eastAsia="Arial" w:hAnsi="Arial" w:cs="Arial"/>
                <w:color w:val="000000"/>
              </w:rPr>
              <w:t>opportunities for all.</w:t>
            </w:r>
          </w:p>
          <w:p w:rsidR="00C51111" w:rsidRDefault="006F722F" w:rsidP="004847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Contribute to the overall aims of the school.</w:t>
            </w:r>
          </w:p>
          <w:p w:rsidR="00C51111" w:rsidRDefault="006F722F" w:rsidP="0048478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Undertake any duties, which may be reasonably regarded as within the nature of the responsibilities/grade of the post as defined.</w:t>
            </w:r>
          </w:p>
        </w:tc>
      </w:tr>
    </w:tbl>
    <w:p w:rsidR="00C51111" w:rsidRDefault="00BC54D6" w:rsidP="0048478D">
      <w:pPr>
        <w:jc w:val="both"/>
      </w:pPr>
      <w:r w:rsidRPr="00BC54D6">
        <w:rPr>
          <w:rFonts w:ascii="Arial" w:eastAsia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-31750</wp:posOffset>
                </wp:positionH>
                <wp:positionV relativeFrom="paragraph">
                  <wp:posOffset>4787900</wp:posOffset>
                </wp:positionV>
                <wp:extent cx="5683250" cy="3429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4D6" w:rsidRPr="00BC54D6" w:rsidRDefault="00BC54D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C54D6">
                              <w:rPr>
                                <w:rFonts w:ascii="Arial" w:hAnsi="Arial" w:cs="Arial"/>
                              </w:rPr>
                              <w:t>Date approved: March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377pt;width:447.5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">
                <v:textbox>
                  <w:txbxContent>
                    <w:p w:rsidR="00BC54D6" w:rsidRPr="00BC54D6" w:rsidRDefault="00BC54D6">
                      <w:pPr>
                        <w:rPr>
                          <w:rFonts w:ascii="Arial" w:hAnsi="Arial" w:cs="Arial"/>
                        </w:rPr>
                      </w:pPr>
                      <w:r w:rsidRPr="00BC54D6">
                        <w:rPr>
                          <w:rFonts w:ascii="Arial" w:hAnsi="Arial" w:cs="Arial"/>
                        </w:rPr>
                        <w:t>Date approved: March 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0"/>
        <w:tblW w:w="9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C51111">
        <w:tc>
          <w:tcPr>
            <w:tcW w:w="9016" w:type="dxa"/>
            <w:shd w:val="clear" w:color="auto" w:fill="D9D9D9"/>
          </w:tcPr>
          <w:p w:rsidR="00C51111" w:rsidRDefault="006F722F" w:rsidP="00484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Disclosure</w:t>
            </w:r>
          </w:p>
        </w:tc>
      </w:tr>
      <w:tr w:rsidR="00C51111">
        <w:tc>
          <w:tcPr>
            <w:tcW w:w="9016" w:type="dxa"/>
          </w:tcPr>
          <w:p w:rsidR="00C51111" w:rsidRDefault="006F722F" w:rsidP="0048478D">
            <w:pPr>
              <w:spacing w:before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Governing Body is committed to safeguarding and promoting the welfare of students and the highest priority is given to this following the guidance and regulations of safeguarding.  </w:t>
            </w:r>
          </w:p>
          <w:p w:rsidR="00C51111" w:rsidRDefault="006F722F" w:rsidP="00484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The post holder is subject to Enhanced Disclosure from the Disclosure Barring Service and any other statutorily required clearance.</w:t>
            </w:r>
          </w:p>
        </w:tc>
      </w:tr>
      <w:tr w:rsidR="00C51111">
        <w:tc>
          <w:tcPr>
            <w:tcW w:w="9016" w:type="dxa"/>
            <w:shd w:val="clear" w:color="auto" w:fill="D9D9D9"/>
          </w:tcPr>
          <w:p w:rsidR="00C51111" w:rsidRDefault="006F722F" w:rsidP="00484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Other</w:t>
            </w:r>
          </w:p>
        </w:tc>
      </w:tr>
      <w:tr w:rsidR="00C51111">
        <w:tc>
          <w:tcPr>
            <w:tcW w:w="9016" w:type="dxa"/>
          </w:tcPr>
          <w:p w:rsidR="00C51111" w:rsidRDefault="006F722F" w:rsidP="0002758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96"/>
              </w:tabs>
              <w:ind w:right="288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This appointment is with the 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color w:val="000000"/>
              </w:rPr>
              <w:t xml:space="preserve">overnors of the school under the terms of a contract signed with the 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color w:val="000000"/>
              </w:rPr>
              <w:t>overnors as employers.  It is subject to the current conditions of service applicable for this post and other current education and employment legislation.</w:t>
            </w:r>
          </w:p>
          <w:p w:rsidR="00C51111" w:rsidRDefault="006F722F" w:rsidP="0002758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96"/>
              </w:tabs>
              <w:ind w:right="288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All employees of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Calday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Grange Grammar School have a responsibility to comply with policies and proc</w:t>
            </w:r>
            <w:r>
              <w:rPr>
                <w:rFonts w:ascii="Arial" w:eastAsia="Arial" w:hAnsi="Arial" w:cs="Arial"/>
                <w:color w:val="000000"/>
              </w:rPr>
              <w:t>edures relating to the safeguarding of students, child protection, health, safety, confidentiality, internet acceptable use (including social networking) and data protection.</w:t>
            </w:r>
          </w:p>
          <w:p w:rsidR="00C51111" w:rsidRDefault="006F722F" w:rsidP="0002758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96"/>
              </w:tabs>
              <w:ind w:right="288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All employees are expected to be flexible in undertaking their duties and meeting</w:t>
            </w:r>
            <w:r>
              <w:rPr>
                <w:rFonts w:ascii="Arial" w:eastAsia="Arial" w:hAnsi="Arial" w:cs="Arial"/>
                <w:color w:val="000000"/>
              </w:rPr>
              <w:t xml:space="preserve"> their responsibilities.  Staff are expected to comply with any reasonable request to undertake work of a similar level that is not specified in this job description.</w:t>
            </w:r>
          </w:p>
          <w:p w:rsidR="00C51111" w:rsidRDefault="006F722F" w:rsidP="0002758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96"/>
              </w:tabs>
              <w:ind w:right="288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The school will endeavour to make any necessary reasonable adjustments to the job and the</w:t>
            </w:r>
            <w:r>
              <w:rPr>
                <w:rFonts w:ascii="Arial" w:eastAsia="Arial" w:hAnsi="Arial" w:cs="Arial"/>
                <w:color w:val="000000"/>
              </w:rPr>
              <w:t xml:space="preserve"> working environment to enable access for disabled members of staff or continued employment for any member of staff who develops a disabling condition.</w:t>
            </w:r>
          </w:p>
          <w:p w:rsidR="00C51111" w:rsidRDefault="006F722F" w:rsidP="0002758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96"/>
              </w:tabs>
              <w:ind w:right="288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This job description is current at the date shown, but, in consultation with you, may be changed to refl</w:t>
            </w:r>
            <w:r>
              <w:rPr>
                <w:rFonts w:ascii="Arial" w:eastAsia="Arial" w:hAnsi="Arial" w:cs="Arial"/>
                <w:color w:val="000000"/>
              </w:rPr>
              <w:t>ect or anticipate changes in the job commensurate with the grade.</w:t>
            </w:r>
          </w:p>
        </w:tc>
      </w:tr>
    </w:tbl>
    <w:p w:rsidR="00C51111" w:rsidRDefault="00C51111" w:rsidP="00027582">
      <w:pPr>
        <w:jc w:val="both"/>
        <w:rPr>
          <w:rFonts w:ascii="Arial" w:eastAsia="Arial" w:hAnsi="Arial" w:cs="Arial"/>
        </w:rPr>
      </w:pPr>
    </w:p>
    <w:p w:rsidR="00C51111" w:rsidRDefault="00C51111">
      <w:pPr>
        <w:rPr>
          <w:rFonts w:ascii="Arial" w:eastAsia="Arial" w:hAnsi="Arial" w:cs="Arial"/>
        </w:rPr>
      </w:pPr>
    </w:p>
    <w:p w:rsidR="00C51111" w:rsidRDefault="00C51111">
      <w:pPr>
        <w:rPr>
          <w:rFonts w:ascii="Arial" w:eastAsia="Arial" w:hAnsi="Arial" w:cs="Arial"/>
        </w:rPr>
      </w:pPr>
      <w:bookmarkStart w:id="1" w:name="_GoBack"/>
      <w:bookmarkEnd w:id="1"/>
    </w:p>
    <w:sectPr w:rsidR="00C511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1440" w:bottom="68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22F" w:rsidRDefault="006F722F">
      <w:pPr>
        <w:spacing w:after="0" w:line="240" w:lineRule="auto"/>
      </w:pPr>
      <w:r>
        <w:separator/>
      </w:r>
    </w:p>
  </w:endnote>
  <w:endnote w:type="continuationSeparator" w:id="0">
    <w:p w:rsidR="006F722F" w:rsidRDefault="006F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lthazar">
    <w:panose1 w:val="02000506070000020004"/>
    <w:charset w:val="00"/>
    <w:family w:val="auto"/>
    <w:pitch w:val="variable"/>
    <w:sig w:usb0="8000002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111" w:rsidRDefault="00C5111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111" w:rsidRDefault="00C5111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111" w:rsidRDefault="00C5111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22F" w:rsidRDefault="006F722F">
      <w:pPr>
        <w:spacing w:after="0" w:line="240" w:lineRule="auto"/>
      </w:pPr>
      <w:r>
        <w:separator/>
      </w:r>
    </w:p>
  </w:footnote>
  <w:footnote w:type="continuationSeparator" w:id="0">
    <w:p w:rsidR="006F722F" w:rsidRDefault="006F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111" w:rsidRDefault="00C5111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111" w:rsidRDefault="00C5111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111" w:rsidRDefault="00C5111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F5E45"/>
    <w:multiLevelType w:val="multilevel"/>
    <w:tmpl w:val="A1FA5E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B53462"/>
    <w:multiLevelType w:val="multilevel"/>
    <w:tmpl w:val="8C481CAE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D681DFA"/>
    <w:multiLevelType w:val="multilevel"/>
    <w:tmpl w:val="6EA2BF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00026E"/>
    <w:multiLevelType w:val="multilevel"/>
    <w:tmpl w:val="BC2E9F6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46467DB"/>
    <w:multiLevelType w:val="multilevel"/>
    <w:tmpl w:val="1AB86630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8D07E49"/>
    <w:multiLevelType w:val="multilevel"/>
    <w:tmpl w:val="F5FAFC9A"/>
    <w:lvl w:ilvl="0">
      <w:start w:val="1"/>
      <w:numFmt w:val="decimal"/>
      <w:pStyle w:val="3Bulletedcopyblu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EFF26A2"/>
    <w:multiLevelType w:val="multilevel"/>
    <w:tmpl w:val="7C3226DE"/>
    <w:lvl w:ilvl="0">
      <w:start w:val="1"/>
      <w:numFmt w:val="bullet"/>
      <w:lvlText w:val="▪"/>
      <w:lvlJc w:val="left"/>
      <w:pPr>
        <w:ind w:left="288" w:hanging="28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9E37F05"/>
    <w:multiLevelType w:val="multilevel"/>
    <w:tmpl w:val="6170A2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0CE5721"/>
    <w:multiLevelType w:val="multilevel"/>
    <w:tmpl w:val="B68CC8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A2B1321"/>
    <w:multiLevelType w:val="multilevel"/>
    <w:tmpl w:val="2598B83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111"/>
    <w:rsid w:val="00027582"/>
    <w:rsid w:val="0048478D"/>
    <w:rsid w:val="006F722F"/>
    <w:rsid w:val="00BC54D6"/>
    <w:rsid w:val="00C5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8A2FA64"/>
  <w15:docId w15:val="{C962BF43-11E1-4014-A31A-FF085C13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5F4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5F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F05F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05F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0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5F4C"/>
    <w:pPr>
      <w:ind w:left="720"/>
      <w:contextualSpacing/>
    </w:pPr>
  </w:style>
  <w:style w:type="paragraph" w:styleId="BodyText2">
    <w:name w:val="Body Text 2"/>
    <w:basedOn w:val="Normal"/>
    <w:link w:val="BodyText2Char"/>
    <w:rsid w:val="00F05F4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05F4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33A"/>
    <w:rPr>
      <w:rFonts w:ascii="Tahoma" w:hAnsi="Tahoma" w:cs="Tahoma"/>
      <w:sz w:val="16"/>
      <w:szCs w:val="16"/>
    </w:rPr>
  </w:style>
  <w:style w:type="paragraph" w:customStyle="1" w:styleId="3Bulletedcopyblue">
    <w:name w:val="3 Bulleted copy blue"/>
    <w:basedOn w:val="Normal"/>
    <w:qFormat/>
    <w:rsid w:val="00D26A78"/>
    <w:pPr>
      <w:numPr>
        <w:numId w:val="10"/>
      </w:numPr>
      <w:spacing w:after="120" w:line="240" w:lineRule="auto"/>
      <w:ind w:right="284"/>
    </w:pPr>
    <w:rPr>
      <w:rFonts w:ascii="Arial" w:eastAsia="MS Mincho" w:hAnsi="Arial" w:cs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43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3A8"/>
  </w:style>
  <w:style w:type="paragraph" w:styleId="Footer">
    <w:name w:val="footer"/>
    <w:basedOn w:val="Normal"/>
    <w:link w:val="FooterChar"/>
    <w:uiPriority w:val="99"/>
    <w:unhideWhenUsed/>
    <w:rsid w:val="005D43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3A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L3ardxfTphojLJIaCWoHIn5WDQ==">CgMxLjAyCGguZ2pkZ3hzOAByITFTRnM5cG9BWmg4MUVOUHA0WHpXX0VaMV8ySmd4MzJoVg==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Calday Grange Grammar School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Ellis</dc:creator>
  <cp:lastModifiedBy>Helen White</cp:lastModifiedBy>
  <cp:revision>3</cp:revision>
  <dcterms:created xsi:type="dcterms:W3CDTF">2025-03-31T11:37:00Z</dcterms:created>
  <dcterms:modified xsi:type="dcterms:W3CDTF">2025-03-31T11:39:00Z</dcterms:modified>
</cp:coreProperties>
</file>